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D73FD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D73FD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D73FD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4144BE">
        <w:rPr>
          <w:rFonts w:ascii="Tahoma" w:hAnsi="Tahoma" w:cs="Tahoma"/>
          <w:b/>
          <w:sz w:val="24"/>
          <w:szCs w:val="24"/>
        </w:rPr>
        <w:t>66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D73FDD">
        <w:rPr>
          <w:rFonts w:ascii="Tahoma" w:hAnsi="Tahoma" w:cs="Tahoma"/>
          <w:b/>
          <w:sz w:val="24"/>
          <w:szCs w:val="24"/>
        </w:rPr>
        <w:t>24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F85E90"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4144BE">
        <w:rPr>
          <w:rFonts w:ascii="Tahoma" w:hAnsi="Tahoma" w:cs="Tahoma"/>
          <w:sz w:val="24"/>
          <w:szCs w:val="24"/>
        </w:rPr>
        <w:t>66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2A59A1">
        <w:rPr>
          <w:rFonts w:ascii="Tahoma" w:hAnsi="Tahoma" w:cs="Tahoma"/>
          <w:sz w:val="24"/>
          <w:szCs w:val="24"/>
        </w:rPr>
        <w:t>1743/2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85E9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A59A1">
        <w:rPr>
          <w:rFonts w:ascii="Tahoma" w:hAnsi="Tahoma" w:cs="Tahoma"/>
          <w:sz w:val="24"/>
          <w:szCs w:val="24"/>
        </w:rPr>
        <w:t>1743/1</w:t>
      </w:r>
      <w:r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F85E90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40146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40146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2A59A1">
        <w:rPr>
          <w:rFonts w:ascii="Tahoma" w:hAnsi="Tahoma" w:cs="Tahoma"/>
          <w:sz w:val="24"/>
          <w:szCs w:val="24"/>
        </w:rPr>
        <w:t>864/2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F85E9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A59A1">
        <w:rPr>
          <w:rFonts w:ascii="Tahoma" w:hAnsi="Tahoma" w:cs="Tahoma"/>
          <w:sz w:val="24"/>
          <w:szCs w:val="24"/>
        </w:rPr>
        <w:t>1743/1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40146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40146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2A59A1">
        <w:rPr>
          <w:rFonts w:ascii="Tahoma" w:hAnsi="Tahoma" w:cs="Tahoma"/>
          <w:sz w:val="24"/>
          <w:szCs w:val="24"/>
        </w:rPr>
        <w:t>864/2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F85E9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401466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F85E9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F85E9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F85E9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F85E9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F85E9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F85E9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F85E90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F85E90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A59A1">
        <w:rPr>
          <w:rFonts w:ascii="Tahoma" w:hAnsi="Tahoma" w:cs="Tahoma"/>
          <w:sz w:val="24"/>
          <w:szCs w:val="24"/>
        </w:rPr>
        <w:t>1743/1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40146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40146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2A59A1">
        <w:rPr>
          <w:rFonts w:ascii="Tahoma" w:hAnsi="Tahoma" w:cs="Tahoma"/>
          <w:sz w:val="24"/>
          <w:szCs w:val="24"/>
        </w:rPr>
        <w:t>864/2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A59A1">
        <w:rPr>
          <w:rFonts w:ascii="Tahoma" w:hAnsi="Tahoma" w:cs="Tahoma"/>
          <w:sz w:val="24"/>
          <w:szCs w:val="24"/>
        </w:rPr>
        <w:t>1743/2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A59A1">
        <w:rPr>
          <w:rFonts w:ascii="Tahoma" w:hAnsi="Tahoma" w:cs="Tahoma"/>
          <w:sz w:val="24"/>
          <w:szCs w:val="24"/>
        </w:rPr>
        <w:t>1743/1</w:t>
      </w:r>
      <w:r>
        <w:rPr>
          <w:rFonts w:ascii="Tahoma" w:hAnsi="Tahoma" w:cs="Tahoma"/>
          <w:sz w:val="24"/>
          <w:szCs w:val="24"/>
        </w:rPr>
        <w:t xml:space="preserve"> 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2A59A1">
        <w:rPr>
          <w:rFonts w:ascii="Tahoma" w:hAnsi="Tahoma" w:cs="Tahoma"/>
          <w:sz w:val="24"/>
          <w:szCs w:val="24"/>
        </w:rPr>
        <w:t>1743/2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2A59A1">
        <w:rPr>
          <w:rFonts w:ascii="Tahoma" w:hAnsi="Tahoma" w:cs="Tahoma"/>
          <w:sz w:val="24"/>
          <w:szCs w:val="24"/>
        </w:rPr>
        <w:t>864/2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2A59A1">
        <w:rPr>
          <w:rFonts w:ascii="Tahoma" w:hAnsi="Tahoma" w:cs="Tahoma"/>
          <w:sz w:val="24"/>
          <w:szCs w:val="24"/>
        </w:rPr>
        <w:t>1743/1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3B5D9E">
        <w:rPr>
          <w:rFonts w:ascii="Tahoma" w:hAnsi="Tahoma" w:cs="Tahoma"/>
          <w:sz w:val="24"/>
          <w:szCs w:val="24"/>
        </w:rPr>
        <w:t>10.10.2017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2A59A1">
        <w:rPr>
          <w:rFonts w:ascii="Tahoma" w:hAnsi="Tahoma" w:cs="Tahoma"/>
          <w:sz w:val="24"/>
          <w:szCs w:val="24"/>
        </w:rPr>
        <w:t>864/2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2A59A1">
        <w:rPr>
          <w:rFonts w:ascii="Tahoma" w:hAnsi="Tahoma" w:cs="Tahoma"/>
          <w:sz w:val="24"/>
          <w:szCs w:val="24"/>
        </w:rPr>
        <w:t>1743/1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2A59A1">
        <w:rPr>
          <w:rFonts w:ascii="Tahoma" w:hAnsi="Tahoma" w:cs="Tahoma"/>
          <w:sz w:val="24"/>
          <w:szCs w:val="24"/>
        </w:rPr>
        <w:t>1743/1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A59A1">
        <w:rPr>
          <w:rFonts w:ascii="Tahoma" w:hAnsi="Tahoma" w:cs="Tahoma"/>
          <w:sz w:val="24"/>
          <w:szCs w:val="24"/>
        </w:rPr>
        <w:t>1743/2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A59A1">
        <w:rPr>
          <w:rFonts w:ascii="Tahoma" w:hAnsi="Tahoma" w:cs="Tahoma"/>
          <w:sz w:val="24"/>
          <w:szCs w:val="24"/>
        </w:rPr>
        <w:t>1743/2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401466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2A59A1">
        <w:rPr>
          <w:rFonts w:ascii="Tahoma" w:hAnsi="Tahoma" w:cs="Tahoma"/>
          <w:sz w:val="24"/>
          <w:szCs w:val="24"/>
        </w:rPr>
        <w:t>76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F85E90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382FEE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382FEE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2A59A1">
        <w:rPr>
          <w:rFonts w:ascii="Tahoma" w:hAnsi="Tahoma" w:cs="Tahoma"/>
          <w:sz w:val="24"/>
          <w:szCs w:val="24"/>
        </w:rPr>
        <w:t>864/2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2A59A1">
        <w:rPr>
          <w:rFonts w:ascii="Tahoma" w:hAnsi="Tahoma" w:cs="Tahoma"/>
          <w:sz w:val="24"/>
          <w:szCs w:val="24"/>
        </w:rPr>
        <w:t>1743/2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F85E9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F85E9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F85E9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F85E9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9E3687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69162F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69162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69162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69162F" w:rsidRDefault="0069162F" w:rsidP="0069162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69162F" w:rsidRDefault="0069162F" w:rsidP="0069162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69162F" w:rsidRPr="0091003F" w:rsidRDefault="0069162F" w:rsidP="0069162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D33" w:rsidRDefault="00DB4D33" w:rsidP="00CB7F9A">
      <w:pPr>
        <w:spacing w:after="0" w:line="240" w:lineRule="auto"/>
      </w:pPr>
      <w:r>
        <w:separator/>
      </w:r>
    </w:p>
  </w:endnote>
  <w:endnote w:type="continuationSeparator" w:id="0">
    <w:p w:rsidR="00DB4D33" w:rsidRDefault="00DB4D33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D33" w:rsidRDefault="00DB4D33" w:rsidP="00CB7F9A">
      <w:pPr>
        <w:spacing w:after="0" w:line="240" w:lineRule="auto"/>
      </w:pPr>
      <w:r>
        <w:separator/>
      </w:r>
    </w:p>
  </w:footnote>
  <w:footnote w:type="continuationSeparator" w:id="0">
    <w:p w:rsidR="00DB4D33" w:rsidRDefault="00DB4D33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600"/>
    <w:rsid w:val="0011170C"/>
    <w:rsid w:val="001131DD"/>
    <w:rsid w:val="00114C29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105C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10B"/>
    <w:rsid w:val="003612F8"/>
    <w:rsid w:val="003636E4"/>
    <w:rsid w:val="0036544B"/>
    <w:rsid w:val="00373D88"/>
    <w:rsid w:val="00381E63"/>
    <w:rsid w:val="00382FEE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401466"/>
    <w:rsid w:val="004144B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60090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850"/>
    <w:rsid w:val="00675D80"/>
    <w:rsid w:val="00677FFC"/>
    <w:rsid w:val="0069162F"/>
    <w:rsid w:val="006933A6"/>
    <w:rsid w:val="006A13E7"/>
    <w:rsid w:val="006B083C"/>
    <w:rsid w:val="006C2D9B"/>
    <w:rsid w:val="006C6B47"/>
    <w:rsid w:val="006D7FD1"/>
    <w:rsid w:val="006E3B1D"/>
    <w:rsid w:val="006E4955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3687"/>
    <w:rsid w:val="009E4E7A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380C"/>
    <w:rsid w:val="00B779E5"/>
    <w:rsid w:val="00B932E3"/>
    <w:rsid w:val="00BA4DAD"/>
    <w:rsid w:val="00BB4ED8"/>
    <w:rsid w:val="00BB774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269B"/>
    <w:rsid w:val="00CB342B"/>
    <w:rsid w:val="00CB7F9A"/>
    <w:rsid w:val="00CC0D7C"/>
    <w:rsid w:val="00CD181C"/>
    <w:rsid w:val="00CE2BCE"/>
    <w:rsid w:val="00CE3911"/>
    <w:rsid w:val="00D0072E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3FDD"/>
    <w:rsid w:val="00D8245D"/>
    <w:rsid w:val="00D833D1"/>
    <w:rsid w:val="00D83A98"/>
    <w:rsid w:val="00DA0A90"/>
    <w:rsid w:val="00DA5B0D"/>
    <w:rsid w:val="00DA7867"/>
    <w:rsid w:val="00DB4D33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85E90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71A8086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5EA2E-B014-4451-A696-20F0CFF80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2471</Words>
  <Characters>14089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12</cp:revision>
  <cp:lastPrinted>2015-06-24T12:22:00Z</cp:lastPrinted>
  <dcterms:created xsi:type="dcterms:W3CDTF">2018-04-20T11:57:00Z</dcterms:created>
  <dcterms:modified xsi:type="dcterms:W3CDTF">2018-10-08T07:05:00Z</dcterms:modified>
</cp:coreProperties>
</file>